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3F790534" w:rsidR="00FC7F1D" w:rsidRPr="00803749" w:rsidRDefault="00FC7F1D" w:rsidP="00FB00BA">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FB00BA">
        <w:rPr>
          <w:rFonts w:ascii="Calibri" w:eastAsia="Calibri" w:hAnsi="Calibri" w:cs="Times New Roman"/>
          <w:sz w:val="24"/>
          <w:szCs w:val="24"/>
        </w:rPr>
        <w:t>MSBA in Financial &amp; Tax Planning</w:t>
      </w:r>
      <w:r w:rsidRPr="00803749">
        <w:rPr>
          <w:rFonts w:ascii="Calibri" w:eastAsia="Calibri" w:hAnsi="Calibri" w:cs="Times New Roman"/>
          <w:sz w:val="24"/>
          <w:szCs w:val="24"/>
        </w:rPr>
        <w:t>. The goals are listed, in brief on the worksheet however they should be reviewed in detail at:</w:t>
      </w:r>
      <w:r w:rsidR="00B92948">
        <w:rPr>
          <w:rFonts w:ascii="Calibri" w:eastAsia="Calibri" w:hAnsi="Calibri" w:cs="Times New Roman"/>
          <w:sz w:val="24"/>
          <w:szCs w:val="24"/>
        </w:rPr>
        <w:t xml:space="preserve"> </w:t>
      </w:r>
      <w:hyperlink r:id="rId5" w:history="1">
        <w:r w:rsidR="00FB00BA" w:rsidRPr="00FF5C06">
          <w:rPr>
            <w:rStyle w:val="Hyperlink"/>
            <w:rFonts w:ascii="Calibri" w:eastAsia="Calibri" w:hAnsi="Calibri" w:cs="Times New Roman"/>
            <w:sz w:val="24"/>
            <w:szCs w:val="24"/>
          </w:rPr>
          <w:t>http://cbaweb.sdsu.edu/assets/files/assessment/goals/2012/MSBA-financial-planning.pdf</w:t>
        </w:r>
      </w:hyperlink>
      <w:r w:rsidR="00FB00BA">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5B29C332"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FB00BA">
        <w:rPr>
          <w:rFonts w:ascii="Calibri" w:eastAsia="Calibri" w:hAnsi="Calibri" w:cs="Times New Roman"/>
          <w:i/>
          <w:sz w:val="24"/>
          <w:szCs w:val="24"/>
        </w:rPr>
        <w:t>Evaluate and resolve ethical dilemmas facing financial planners</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FB00BA">
        <w:rPr>
          <w:rFonts w:ascii="Calibri" w:eastAsia="Calibri" w:hAnsi="Calibri" w:cs="Times New Roman"/>
          <w:i/>
          <w:sz w:val="24"/>
          <w:szCs w:val="24"/>
        </w:rPr>
        <w:t>a more advanced course</w:t>
      </w:r>
      <w:r w:rsidRPr="00803749">
        <w:rPr>
          <w:rFonts w:ascii="Calibri" w:eastAsia="Calibri" w:hAnsi="Calibri" w:cs="Times New Roman"/>
          <w:i/>
          <w:sz w:val="24"/>
          <w:szCs w:val="24"/>
        </w:rPr>
        <w:t xml:space="preserve">. </w:t>
      </w:r>
      <w:r w:rsidR="00FB00BA">
        <w:rPr>
          <w:rFonts w:ascii="Calibri" w:eastAsia="Calibri" w:hAnsi="Calibri" w:cs="Times New Roman"/>
          <w:i/>
          <w:sz w:val="24"/>
          <w:szCs w:val="24"/>
        </w:rPr>
        <w:t>That topic</w:t>
      </w:r>
      <w:r w:rsidRPr="00803749">
        <w:rPr>
          <w:rFonts w:ascii="Calibri" w:eastAsia="Calibri" w:hAnsi="Calibri" w:cs="Times New Roman"/>
          <w:i/>
          <w:sz w:val="24"/>
          <w:szCs w:val="24"/>
        </w:rPr>
        <w:t xml:space="preserve"> may </w:t>
      </w:r>
      <w:r w:rsidR="00FB00BA">
        <w:rPr>
          <w:rFonts w:ascii="Calibri" w:eastAsia="Calibri" w:hAnsi="Calibri" w:cs="Times New Roman"/>
          <w:i/>
          <w:sz w:val="24"/>
          <w:szCs w:val="24"/>
        </w:rPr>
        <w:t xml:space="preserve">also </w:t>
      </w:r>
      <w:r w:rsidRPr="00803749">
        <w:rPr>
          <w:rFonts w:ascii="Calibri" w:eastAsia="Calibri" w:hAnsi="Calibri" w:cs="Times New Roman"/>
          <w:i/>
          <w:sz w:val="24"/>
          <w:szCs w:val="24"/>
        </w:rPr>
        <w:t xml:space="preserve">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w:t>
      </w:r>
      <w:r w:rsidR="00FB00BA">
        <w:rPr>
          <w:rFonts w:ascii="Calibri" w:eastAsia="Calibri" w:hAnsi="Calibri" w:cs="Times New Roman"/>
          <w:i/>
          <w:sz w:val="24"/>
          <w:szCs w:val="24"/>
        </w:rPr>
        <w:t>an earlier course</w:t>
      </w:r>
      <w:bookmarkStart w:id="0" w:name="_GoBack"/>
      <w:bookmarkEnd w:id="0"/>
      <w:r w:rsidRPr="00803749">
        <w:rPr>
          <w:rFonts w:ascii="Calibri" w:eastAsia="Calibri" w:hAnsi="Calibri" w:cs="Times New Roman"/>
          <w:i/>
          <w:sz w:val="24"/>
          <w:szCs w:val="24"/>
        </w:rPr>
        <w:t xml:space="preserve">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171B3657" w:rsidR="00FC7F1D" w:rsidRPr="00B92948" w:rsidRDefault="00FB00BA" w:rsidP="00803749">
      <w:pPr>
        <w:spacing w:after="0" w:line="240" w:lineRule="auto"/>
        <w:jc w:val="center"/>
        <w:rPr>
          <w:b/>
          <w:sz w:val="48"/>
          <w:szCs w:val="48"/>
        </w:rPr>
      </w:pPr>
      <w:r>
        <w:rPr>
          <w:b/>
          <w:sz w:val="48"/>
          <w:szCs w:val="48"/>
        </w:rPr>
        <w:t>MSBA Financial &amp; Tax Planning</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187"/>
        <w:tblW w:w="10548" w:type="dxa"/>
        <w:tblLook w:val="04A0" w:firstRow="1" w:lastRow="0" w:firstColumn="1" w:lastColumn="0" w:noHBand="0" w:noVBand="1"/>
      </w:tblPr>
      <w:tblGrid>
        <w:gridCol w:w="8478"/>
        <w:gridCol w:w="1001"/>
        <w:gridCol w:w="1069"/>
      </w:tblGrid>
      <w:tr w:rsidR="00FB00BA" w:rsidRPr="00C67E5D" w14:paraId="180411F9" w14:textId="77777777" w:rsidTr="00FB00BA">
        <w:trPr>
          <w:trHeight w:val="527"/>
        </w:trPr>
        <w:tc>
          <w:tcPr>
            <w:tcW w:w="8478" w:type="dxa"/>
            <w:noWrap/>
          </w:tcPr>
          <w:p w14:paraId="0C8E796D" w14:textId="2BD57B2B" w:rsidR="00FB00BA" w:rsidRPr="000A4F82" w:rsidRDefault="00FB00BA" w:rsidP="00FB00BA">
            <w:pPr>
              <w:rPr>
                <w:b/>
                <w:bCs/>
                <w:sz w:val="28"/>
                <w:szCs w:val="28"/>
              </w:rPr>
            </w:pPr>
            <w:r>
              <w:rPr>
                <w:b/>
                <w:bCs/>
                <w:sz w:val="28"/>
                <w:szCs w:val="28"/>
              </w:rPr>
              <w:t>Course:</w:t>
            </w:r>
          </w:p>
        </w:tc>
        <w:tc>
          <w:tcPr>
            <w:tcW w:w="2070" w:type="dxa"/>
            <w:gridSpan w:val="2"/>
            <w:noWrap/>
          </w:tcPr>
          <w:p w14:paraId="50D50A97" w14:textId="77777777" w:rsidR="00FB00BA" w:rsidRPr="006656AE" w:rsidRDefault="00FB00BA" w:rsidP="00FB00BA">
            <w:pPr>
              <w:jc w:val="center"/>
              <w:rPr>
                <w:b/>
                <w:sz w:val="24"/>
                <w:szCs w:val="24"/>
              </w:rPr>
            </w:pPr>
          </w:p>
        </w:tc>
      </w:tr>
      <w:tr w:rsidR="00FB00BA" w:rsidRPr="00C67E5D" w14:paraId="712078B2" w14:textId="77777777" w:rsidTr="00FB00BA">
        <w:trPr>
          <w:trHeight w:val="620"/>
        </w:trPr>
        <w:tc>
          <w:tcPr>
            <w:tcW w:w="8478" w:type="dxa"/>
            <w:noWrap/>
          </w:tcPr>
          <w:p w14:paraId="6F3240D1" w14:textId="49CE293B" w:rsidR="00FB00BA" w:rsidRPr="00FB00BA" w:rsidRDefault="00FB00BA" w:rsidP="00FB00BA">
            <w:pPr>
              <w:rPr>
                <w:b/>
                <w:bCs/>
                <w:sz w:val="40"/>
                <w:szCs w:val="40"/>
              </w:rPr>
            </w:pPr>
            <w:r w:rsidRPr="00FB00BA">
              <w:rPr>
                <w:b/>
                <w:bCs/>
                <w:sz w:val="40"/>
                <w:szCs w:val="40"/>
              </w:rPr>
              <w:t>Degree</w:t>
            </w:r>
            <w:r w:rsidRPr="00FB00BA">
              <w:rPr>
                <w:b/>
                <w:bCs/>
                <w:sz w:val="40"/>
                <w:szCs w:val="40"/>
              </w:rPr>
              <w:t xml:space="preserve"> Learning Outcomes</w:t>
            </w:r>
          </w:p>
        </w:tc>
        <w:tc>
          <w:tcPr>
            <w:tcW w:w="1001" w:type="dxa"/>
            <w:noWrap/>
          </w:tcPr>
          <w:p w14:paraId="75ED7713" w14:textId="77777777" w:rsidR="00FB00BA" w:rsidRPr="006656AE" w:rsidRDefault="00FB00BA" w:rsidP="00FB00BA">
            <w:pPr>
              <w:jc w:val="center"/>
              <w:rPr>
                <w:b/>
                <w:sz w:val="24"/>
                <w:szCs w:val="24"/>
              </w:rPr>
            </w:pPr>
            <w:r w:rsidRPr="006656AE">
              <w:rPr>
                <w:b/>
                <w:sz w:val="24"/>
                <w:szCs w:val="24"/>
              </w:rPr>
              <w:t>Primary</w:t>
            </w:r>
          </w:p>
          <w:p w14:paraId="31FE1C7F" w14:textId="77777777" w:rsidR="00FB00BA" w:rsidRPr="006656AE" w:rsidRDefault="00FB00BA" w:rsidP="00FB00BA">
            <w:pPr>
              <w:jc w:val="center"/>
              <w:rPr>
                <w:sz w:val="24"/>
                <w:szCs w:val="24"/>
              </w:rPr>
            </w:pPr>
            <w:r w:rsidRPr="006656AE">
              <w:rPr>
                <w:b/>
                <w:sz w:val="24"/>
                <w:szCs w:val="24"/>
              </w:rPr>
              <w:t>Focus?</w:t>
            </w:r>
          </w:p>
        </w:tc>
        <w:tc>
          <w:tcPr>
            <w:tcW w:w="1069" w:type="dxa"/>
          </w:tcPr>
          <w:p w14:paraId="7C981311" w14:textId="77777777" w:rsidR="00FB00BA" w:rsidRPr="000A4F82" w:rsidRDefault="00FB00BA" w:rsidP="00FB00BA">
            <w:pPr>
              <w:jc w:val="center"/>
              <w:rPr>
                <w:b/>
                <w:sz w:val="24"/>
                <w:szCs w:val="24"/>
              </w:rPr>
            </w:pPr>
            <w:r w:rsidRPr="000A4F82">
              <w:rPr>
                <w:b/>
                <w:sz w:val="24"/>
                <w:szCs w:val="24"/>
              </w:rPr>
              <w:t>I, R, AI, AG?</w:t>
            </w:r>
          </w:p>
        </w:tc>
      </w:tr>
      <w:tr w:rsidR="00FB00BA" w:rsidRPr="00C67E5D" w14:paraId="0A594D63" w14:textId="77777777" w:rsidTr="00FB00BA">
        <w:trPr>
          <w:trHeight w:val="350"/>
        </w:trPr>
        <w:tc>
          <w:tcPr>
            <w:tcW w:w="8478" w:type="dxa"/>
            <w:noWrap/>
          </w:tcPr>
          <w:p w14:paraId="05C338E2" w14:textId="77777777" w:rsidR="00FB00BA" w:rsidRPr="007D03C4" w:rsidRDefault="00FB00BA" w:rsidP="00FB00BA">
            <w:pPr>
              <w:rPr>
                <w:bCs/>
                <w:sz w:val="24"/>
                <w:szCs w:val="24"/>
              </w:rPr>
            </w:pPr>
            <w:r w:rsidRPr="007D03C4">
              <w:rPr>
                <w:bCs/>
                <w:sz w:val="24"/>
                <w:szCs w:val="24"/>
              </w:rPr>
              <w:t>Determine a client’s financial status by constructing and interpreting their financial statements.</w:t>
            </w:r>
          </w:p>
        </w:tc>
        <w:tc>
          <w:tcPr>
            <w:tcW w:w="1001" w:type="dxa"/>
            <w:noWrap/>
            <w:hideMark/>
          </w:tcPr>
          <w:p w14:paraId="2D69DF17" w14:textId="77777777" w:rsidR="00FB00BA" w:rsidRPr="00B60636" w:rsidRDefault="00FB00BA" w:rsidP="00FB00BA">
            <w:pPr>
              <w:jc w:val="center"/>
            </w:pPr>
          </w:p>
        </w:tc>
        <w:tc>
          <w:tcPr>
            <w:tcW w:w="1069" w:type="dxa"/>
          </w:tcPr>
          <w:p w14:paraId="51A0368B" w14:textId="77777777" w:rsidR="00FB00BA" w:rsidRPr="00B60636" w:rsidRDefault="00FB00BA" w:rsidP="00FB00BA">
            <w:pPr>
              <w:jc w:val="center"/>
            </w:pPr>
          </w:p>
        </w:tc>
      </w:tr>
      <w:tr w:rsidR="00FB00BA" w:rsidRPr="00C67E5D" w14:paraId="237E0214" w14:textId="77777777" w:rsidTr="00FB00BA">
        <w:trPr>
          <w:trHeight w:val="350"/>
        </w:trPr>
        <w:tc>
          <w:tcPr>
            <w:tcW w:w="8478" w:type="dxa"/>
            <w:noWrap/>
          </w:tcPr>
          <w:p w14:paraId="1EFA8F1B" w14:textId="77777777" w:rsidR="00FB00BA" w:rsidRPr="007D03C4" w:rsidRDefault="00FB00BA" w:rsidP="00FB00BA">
            <w:pPr>
              <w:rPr>
                <w:iCs/>
                <w:sz w:val="24"/>
                <w:szCs w:val="24"/>
              </w:rPr>
            </w:pPr>
            <w:r w:rsidRPr="007D03C4">
              <w:rPr>
                <w:iCs/>
                <w:sz w:val="24"/>
                <w:szCs w:val="24"/>
              </w:rPr>
              <w:t>Recognize problems and opportunities, strengths and weaknesses of their current financial situation.</w:t>
            </w:r>
          </w:p>
        </w:tc>
        <w:tc>
          <w:tcPr>
            <w:tcW w:w="1001" w:type="dxa"/>
            <w:noWrap/>
            <w:hideMark/>
          </w:tcPr>
          <w:p w14:paraId="0D50C4DF" w14:textId="77777777" w:rsidR="00FB00BA" w:rsidRPr="00B60636" w:rsidRDefault="00FB00BA" w:rsidP="00FB00BA">
            <w:pPr>
              <w:jc w:val="center"/>
            </w:pPr>
          </w:p>
        </w:tc>
        <w:tc>
          <w:tcPr>
            <w:tcW w:w="1069" w:type="dxa"/>
          </w:tcPr>
          <w:p w14:paraId="6E9D4C1E" w14:textId="77777777" w:rsidR="00FB00BA" w:rsidRPr="00B60636" w:rsidRDefault="00FB00BA" w:rsidP="00FB00BA">
            <w:pPr>
              <w:jc w:val="center"/>
            </w:pPr>
          </w:p>
        </w:tc>
      </w:tr>
      <w:tr w:rsidR="00FB00BA" w:rsidRPr="00C67E5D" w14:paraId="14E337E3" w14:textId="77777777" w:rsidTr="00FB00BA">
        <w:trPr>
          <w:trHeight w:val="305"/>
        </w:trPr>
        <w:tc>
          <w:tcPr>
            <w:tcW w:w="8478" w:type="dxa"/>
            <w:noWrap/>
          </w:tcPr>
          <w:p w14:paraId="34227163" w14:textId="77777777" w:rsidR="00FB00BA" w:rsidRPr="007D03C4" w:rsidRDefault="00FB00BA" w:rsidP="00FB00BA">
            <w:pPr>
              <w:rPr>
                <w:bCs/>
                <w:iCs/>
                <w:sz w:val="24"/>
                <w:szCs w:val="24"/>
              </w:rPr>
            </w:pPr>
            <w:r w:rsidRPr="007D03C4">
              <w:rPr>
                <w:bCs/>
                <w:iCs/>
                <w:sz w:val="24"/>
                <w:szCs w:val="24"/>
              </w:rPr>
              <w:t>Evaluate clients’ psychological attitudes so that a plan can be implemented that is not only feasible but also psychologically appropriate to the clients.</w:t>
            </w:r>
          </w:p>
        </w:tc>
        <w:tc>
          <w:tcPr>
            <w:tcW w:w="1001" w:type="dxa"/>
            <w:noWrap/>
          </w:tcPr>
          <w:p w14:paraId="2864BEAE" w14:textId="77777777" w:rsidR="00FB00BA" w:rsidRPr="00B60636" w:rsidRDefault="00FB00BA" w:rsidP="00FB00BA">
            <w:pPr>
              <w:jc w:val="center"/>
              <w:rPr>
                <w:b/>
                <w:bCs/>
                <w:iCs/>
              </w:rPr>
            </w:pPr>
          </w:p>
        </w:tc>
        <w:tc>
          <w:tcPr>
            <w:tcW w:w="1069" w:type="dxa"/>
          </w:tcPr>
          <w:p w14:paraId="3BF3D946" w14:textId="77777777" w:rsidR="00FB00BA" w:rsidRPr="00B60636" w:rsidRDefault="00FB00BA" w:rsidP="00FB00BA">
            <w:pPr>
              <w:jc w:val="center"/>
              <w:rPr>
                <w:b/>
                <w:bCs/>
                <w:iCs/>
              </w:rPr>
            </w:pPr>
          </w:p>
        </w:tc>
      </w:tr>
      <w:tr w:rsidR="00FB00BA" w:rsidRPr="00C67E5D" w14:paraId="3B1D9C3A" w14:textId="77777777" w:rsidTr="00FB00BA">
        <w:trPr>
          <w:trHeight w:val="260"/>
        </w:trPr>
        <w:tc>
          <w:tcPr>
            <w:tcW w:w="8478" w:type="dxa"/>
            <w:noWrap/>
          </w:tcPr>
          <w:p w14:paraId="6BE3B0B1" w14:textId="77777777" w:rsidR="00FB00BA" w:rsidRPr="007D03C4" w:rsidRDefault="00FB00BA" w:rsidP="00FB00BA">
            <w:pPr>
              <w:rPr>
                <w:bCs/>
                <w:iCs/>
                <w:sz w:val="24"/>
                <w:szCs w:val="24"/>
              </w:rPr>
            </w:pPr>
            <w:r w:rsidRPr="007D03C4">
              <w:rPr>
                <w:bCs/>
                <w:iCs/>
                <w:sz w:val="24"/>
                <w:szCs w:val="24"/>
              </w:rPr>
              <w:t>Help clients enunciate their life goals, enumerate the financial aspects of those goals, evaluate their ability to meet their goals, devise a plan to meet those goals.</w:t>
            </w:r>
          </w:p>
        </w:tc>
        <w:tc>
          <w:tcPr>
            <w:tcW w:w="1001" w:type="dxa"/>
            <w:noWrap/>
          </w:tcPr>
          <w:p w14:paraId="18FE5D1B" w14:textId="77777777" w:rsidR="00FB00BA" w:rsidRPr="00B60636" w:rsidRDefault="00FB00BA" w:rsidP="00FB00BA">
            <w:pPr>
              <w:jc w:val="center"/>
              <w:rPr>
                <w:b/>
                <w:bCs/>
                <w:iCs/>
              </w:rPr>
            </w:pPr>
          </w:p>
        </w:tc>
        <w:tc>
          <w:tcPr>
            <w:tcW w:w="1069" w:type="dxa"/>
          </w:tcPr>
          <w:p w14:paraId="71469060" w14:textId="77777777" w:rsidR="00FB00BA" w:rsidRPr="00B60636" w:rsidRDefault="00FB00BA" w:rsidP="00FB00BA">
            <w:pPr>
              <w:jc w:val="center"/>
              <w:rPr>
                <w:b/>
                <w:bCs/>
                <w:iCs/>
              </w:rPr>
            </w:pPr>
          </w:p>
        </w:tc>
      </w:tr>
      <w:tr w:rsidR="00FB00BA" w:rsidRPr="00C67E5D" w14:paraId="441E56A1" w14:textId="77777777" w:rsidTr="00FB00BA">
        <w:trPr>
          <w:trHeight w:val="260"/>
        </w:trPr>
        <w:tc>
          <w:tcPr>
            <w:tcW w:w="8478" w:type="dxa"/>
            <w:noWrap/>
          </w:tcPr>
          <w:p w14:paraId="79FF1F87" w14:textId="77777777" w:rsidR="00FB00BA" w:rsidRPr="007D03C4" w:rsidRDefault="00FB00BA" w:rsidP="00FB00BA">
            <w:pPr>
              <w:rPr>
                <w:bCs/>
                <w:iCs/>
                <w:sz w:val="24"/>
                <w:szCs w:val="24"/>
              </w:rPr>
            </w:pPr>
            <w:r w:rsidRPr="007D03C4">
              <w:rPr>
                <w:bCs/>
                <w:iCs/>
                <w:sz w:val="24"/>
                <w:szCs w:val="24"/>
              </w:rPr>
              <w:t>Evaluate the sufficiency of clients’ emergency funds, their preparation for fiscal stress, their credit worthiness and their use of debt and propose improvements in each.</w:t>
            </w:r>
          </w:p>
        </w:tc>
        <w:tc>
          <w:tcPr>
            <w:tcW w:w="1001" w:type="dxa"/>
            <w:noWrap/>
          </w:tcPr>
          <w:p w14:paraId="4B6982AA" w14:textId="77777777" w:rsidR="00FB00BA" w:rsidRPr="00B60636" w:rsidRDefault="00FB00BA" w:rsidP="00FB00BA">
            <w:pPr>
              <w:jc w:val="center"/>
              <w:rPr>
                <w:b/>
                <w:bCs/>
                <w:iCs/>
              </w:rPr>
            </w:pPr>
          </w:p>
        </w:tc>
        <w:tc>
          <w:tcPr>
            <w:tcW w:w="1069" w:type="dxa"/>
          </w:tcPr>
          <w:p w14:paraId="29C6A114" w14:textId="77777777" w:rsidR="00FB00BA" w:rsidRPr="00B60636" w:rsidRDefault="00FB00BA" w:rsidP="00FB00BA">
            <w:pPr>
              <w:jc w:val="center"/>
              <w:rPr>
                <w:b/>
                <w:bCs/>
                <w:iCs/>
              </w:rPr>
            </w:pPr>
          </w:p>
        </w:tc>
      </w:tr>
      <w:tr w:rsidR="00FB00BA" w:rsidRPr="00C67E5D" w14:paraId="79035B52" w14:textId="77777777" w:rsidTr="00FB00BA">
        <w:trPr>
          <w:trHeight w:val="377"/>
        </w:trPr>
        <w:tc>
          <w:tcPr>
            <w:tcW w:w="8478" w:type="dxa"/>
            <w:noWrap/>
          </w:tcPr>
          <w:p w14:paraId="5AEE3A93" w14:textId="77777777" w:rsidR="00FB00BA" w:rsidRPr="007D03C4" w:rsidRDefault="00FB00BA" w:rsidP="00FB00BA">
            <w:pPr>
              <w:rPr>
                <w:bCs/>
                <w:iCs/>
                <w:sz w:val="24"/>
                <w:szCs w:val="24"/>
              </w:rPr>
            </w:pPr>
            <w:r w:rsidRPr="007D03C4">
              <w:rPr>
                <w:bCs/>
                <w:iCs/>
                <w:sz w:val="24"/>
                <w:szCs w:val="24"/>
              </w:rPr>
              <w:t>Estimate the inflation adjusted cash flows and the present values for each goal, and build an accumulation plan to accomplish each goal.</w:t>
            </w:r>
          </w:p>
        </w:tc>
        <w:tc>
          <w:tcPr>
            <w:tcW w:w="1001" w:type="dxa"/>
            <w:noWrap/>
          </w:tcPr>
          <w:p w14:paraId="0049FC50" w14:textId="77777777" w:rsidR="00FB00BA" w:rsidRPr="00B60636" w:rsidRDefault="00FB00BA" w:rsidP="00FB00BA">
            <w:pPr>
              <w:jc w:val="center"/>
              <w:rPr>
                <w:b/>
                <w:bCs/>
                <w:iCs/>
              </w:rPr>
            </w:pPr>
          </w:p>
        </w:tc>
        <w:tc>
          <w:tcPr>
            <w:tcW w:w="1069" w:type="dxa"/>
          </w:tcPr>
          <w:p w14:paraId="3161338C" w14:textId="77777777" w:rsidR="00FB00BA" w:rsidRPr="00B60636" w:rsidRDefault="00FB00BA" w:rsidP="00FB00BA">
            <w:pPr>
              <w:jc w:val="center"/>
              <w:rPr>
                <w:b/>
                <w:bCs/>
                <w:iCs/>
              </w:rPr>
            </w:pPr>
          </w:p>
        </w:tc>
      </w:tr>
      <w:tr w:rsidR="00FB00BA" w:rsidRPr="00C67E5D" w14:paraId="24358CD0" w14:textId="77777777" w:rsidTr="00FB00BA">
        <w:trPr>
          <w:trHeight w:val="365"/>
        </w:trPr>
        <w:tc>
          <w:tcPr>
            <w:tcW w:w="8478" w:type="dxa"/>
            <w:noWrap/>
          </w:tcPr>
          <w:p w14:paraId="10D362BC" w14:textId="77777777" w:rsidR="00FB00BA" w:rsidRPr="007D03C4" w:rsidRDefault="00FB00BA" w:rsidP="00FB00BA">
            <w:pPr>
              <w:rPr>
                <w:bCs/>
                <w:iCs/>
                <w:sz w:val="24"/>
                <w:szCs w:val="24"/>
              </w:rPr>
            </w:pPr>
            <w:r w:rsidRPr="007D03C4">
              <w:rPr>
                <w:bCs/>
                <w:iCs/>
                <w:sz w:val="24"/>
                <w:szCs w:val="24"/>
              </w:rPr>
              <w:t>Evaluate the economic and demographic environment to understand how it may affect clients’ plans, including current and anticipated interest and inflation rates, expected rates of return, and mortality.</w:t>
            </w:r>
          </w:p>
        </w:tc>
        <w:tc>
          <w:tcPr>
            <w:tcW w:w="1001" w:type="dxa"/>
            <w:noWrap/>
          </w:tcPr>
          <w:p w14:paraId="187F8936" w14:textId="77777777" w:rsidR="00FB00BA" w:rsidRPr="00B60636" w:rsidRDefault="00FB00BA" w:rsidP="00FB00BA">
            <w:pPr>
              <w:jc w:val="center"/>
              <w:rPr>
                <w:b/>
                <w:bCs/>
                <w:iCs/>
              </w:rPr>
            </w:pPr>
          </w:p>
        </w:tc>
        <w:tc>
          <w:tcPr>
            <w:tcW w:w="1069" w:type="dxa"/>
          </w:tcPr>
          <w:p w14:paraId="6FBF97F5" w14:textId="77777777" w:rsidR="00FB00BA" w:rsidRPr="00B60636" w:rsidRDefault="00FB00BA" w:rsidP="00FB00BA">
            <w:pPr>
              <w:jc w:val="center"/>
              <w:rPr>
                <w:b/>
                <w:bCs/>
                <w:iCs/>
              </w:rPr>
            </w:pPr>
          </w:p>
        </w:tc>
      </w:tr>
      <w:tr w:rsidR="00FB00BA" w:rsidRPr="00C67E5D" w14:paraId="3D13BCAE" w14:textId="77777777" w:rsidTr="00FB00BA">
        <w:trPr>
          <w:trHeight w:val="395"/>
        </w:trPr>
        <w:tc>
          <w:tcPr>
            <w:tcW w:w="8478" w:type="dxa"/>
            <w:noWrap/>
          </w:tcPr>
          <w:p w14:paraId="3567D650" w14:textId="77777777" w:rsidR="00FB00BA" w:rsidRPr="007D03C4" w:rsidRDefault="00FB00BA" w:rsidP="00FB00BA">
            <w:pPr>
              <w:rPr>
                <w:bCs/>
                <w:iCs/>
                <w:sz w:val="24"/>
                <w:szCs w:val="24"/>
              </w:rPr>
            </w:pPr>
            <w:r w:rsidRPr="007D03C4">
              <w:rPr>
                <w:bCs/>
                <w:iCs/>
                <w:sz w:val="24"/>
                <w:szCs w:val="24"/>
              </w:rPr>
              <w:t>Help clients identify elements of risk they face and select appropriate means of dealing with them: insurable risks, portfolio risks, hedgeable risks.</w:t>
            </w:r>
          </w:p>
        </w:tc>
        <w:tc>
          <w:tcPr>
            <w:tcW w:w="1001" w:type="dxa"/>
            <w:noWrap/>
          </w:tcPr>
          <w:p w14:paraId="6B95913A" w14:textId="77777777" w:rsidR="00FB00BA" w:rsidRPr="00B60636" w:rsidRDefault="00FB00BA" w:rsidP="00FB00BA">
            <w:pPr>
              <w:jc w:val="center"/>
              <w:rPr>
                <w:b/>
                <w:bCs/>
                <w:iCs/>
              </w:rPr>
            </w:pPr>
          </w:p>
        </w:tc>
        <w:tc>
          <w:tcPr>
            <w:tcW w:w="1069" w:type="dxa"/>
          </w:tcPr>
          <w:p w14:paraId="63F159ED" w14:textId="77777777" w:rsidR="00FB00BA" w:rsidRPr="00B60636" w:rsidRDefault="00FB00BA" w:rsidP="00FB00BA">
            <w:pPr>
              <w:jc w:val="center"/>
              <w:rPr>
                <w:b/>
                <w:bCs/>
                <w:iCs/>
              </w:rPr>
            </w:pPr>
          </w:p>
        </w:tc>
      </w:tr>
      <w:tr w:rsidR="00FB00BA" w:rsidRPr="00C67E5D" w14:paraId="1E15529B" w14:textId="77777777" w:rsidTr="00FB00BA">
        <w:trPr>
          <w:trHeight w:val="305"/>
        </w:trPr>
        <w:tc>
          <w:tcPr>
            <w:tcW w:w="8478" w:type="dxa"/>
            <w:noWrap/>
          </w:tcPr>
          <w:p w14:paraId="393A220C" w14:textId="77777777" w:rsidR="00FB00BA" w:rsidRPr="007D03C4" w:rsidRDefault="00FB00BA" w:rsidP="00FB00BA">
            <w:pPr>
              <w:rPr>
                <w:bCs/>
                <w:iCs/>
                <w:sz w:val="24"/>
                <w:szCs w:val="24"/>
              </w:rPr>
            </w:pPr>
            <w:r w:rsidRPr="007D03C4">
              <w:rPr>
                <w:bCs/>
                <w:iCs/>
                <w:sz w:val="24"/>
                <w:szCs w:val="24"/>
              </w:rPr>
              <w:t>Evaluate investment choices and select the most appropriate choices from among various investment and insurance alternatives in order to help clients achieve specific goals.</w:t>
            </w:r>
          </w:p>
        </w:tc>
        <w:tc>
          <w:tcPr>
            <w:tcW w:w="1001" w:type="dxa"/>
            <w:noWrap/>
          </w:tcPr>
          <w:p w14:paraId="0639011A" w14:textId="77777777" w:rsidR="00FB00BA" w:rsidRPr="00B60636" w:rsidRDefault="00FB00BA" w:rsidP="00FB00BA">
            <w:pPr>
              <w:jc w:val="center"/>
              <w:rPr>
                <w:b/>
                <w:bCs/>
                <w:iCs/>
              </w:rPr>
            </w:pPr>
          </w:p>
        </w:tc>
        <w:tc>
          <w:tcPr>
            <w:tcW w:w="1069" w:type="dxa"/>
          </w:tcPr>
          <w:p w14:paraId="53EBF4A5" w14:textId="77777777" w:rsidR="00FB00BA" w:rsidRPr="00B60636" w:rsidRDefault="00FB00BA" w:rsidP="00FB00BA">
            <w:pPr>
              <w:jc w:val="center"/>
              <w:rPr>
                <w:b/>
                <w:bCs/>
                <w:iCs/>
              </w:rPr>
            </w:pPr>
          </w:p>
        </w:tc>
      </w:tr>
      <w:tr w:rsidR="00FB00BA" w:rsidRPr="00C67E5D" w14:paraId="1B057F15" w14:textId="77777777" w:rsidTr="00FB00BA">
        <w:trPr>
          <w:trHeight w:val="305"/>
        </w:trPr>
        <w:tc>
          <w:tcPr>
            <w:tcW w:w="8478" w:type="dxa"/>
            <w:noWrap/>
          </w:tcPr>
          <w:p w14:paraId="330ED708" w14:textId="77777777" w:rsidR="00FB00BA" w:rsidRPr="007D03C4" w:rsidRDefault="00FB00BA" w:rsidP="00FB00BA">
            <w:pPr>
              <w:tabs>
                <w:tab w:val="left" w:pos="1170"/>
              </w:tabs>
              <w:rPr>
                <w:bCs/>
                <w:iCs/>
                <w:sz w:val="24"/>
                <w:szCs w:val="24"/>
              </w:rPr>
            </w:pPr>
            <w:r w:rsidRPr="007D03C4">
              <w:rPr>
                <w:bCs/>
                <w:iCs/>
                <w:sz w:val="24"/>
                <w:szCs w:val="24"/>
              </w:rPr>
              <w:t>Optimize a client’s after-tax well-being by understanding personal taxation and its effect on personal financial decisions.</w:t>
            </w:r>
          </w:p>
        </w:tc>
        <w:tc>
          <w:tcPr>
            <w:tcW w:w="1001" w:type="dxa"/>
            <w:noWrap/>
          </w:tcPr>
          <w:p w14:paraId="5B5C15C3" w14:textId="77777777" w:rsidR="00FB00BA" w:rsidRPr="00B60636" w:rsidRDefault="00FB00BA" w:rsidP="00FB00BA">
            <w:pPr>
              <w:jc w:val="center"/>
              <w:rPr>
                <w:b/>
                <w:bCs/>
                <w:iCs/>
              </w:rPr>
            </w:pPr>
          </w:p>
        </w:tc>
        <w:tc>
          <w:tcPr>
            <w:tcW w:w="1069" w:type="dxa"/>
          </w:tcPr>
          <w:p w14:paraId="76BBBB18" w14:textId="77777777" w:rsidR="00FB00BA" w:rsidRPr="00B60636" w:rsidRDefault="00FB00BA" w:rsidP="00FB00BA">
            <w:pPr>
              <w:jc w:val="center"/>
              <w:rPr>
                <w:b/>
                <w:bCs/>
                <w:iCs/>
              </w:rPr>
            </w:pPr>
          </w:p>
        </w:tc>
      </w:tr>
      <w:tr w:rsidR="00FB00BA" w:rsidRPr="00C67E5D" w14:paraId="72314507" w14:textId="77777777" w:rsidTr="00FB00BA">
        <w:trPr>
          <w:trHeight w:val="305"/>
        </w:trPr>
        <w:tc>
          <w:tcPr>
            <w:tcW w:w="8478" w:type="dxa"/>
            <w:noWrap/>
          </w:tcPr>
          <w:p w14:paraId="3CE909BE" w14:textId="77777777" w:rsidR="00FB00BA" w:rsidRPr="007D03C4" w:rsidRDefault="00FB00BA" w:rsidP="00FB00BA">
            <w:pPr>
              <w:rPr>
                <w:bCs/>
                <w:iCs/>
                <w:sz w:val="24"/>
                <w:szCs w:val="24"/>
              </w:rPr>
            </w:pPr>
            <w:r w:rsidRPr="007D03C4">
              <w:rPr>
                <w:bCs/>
                <w:iCs/>
                <w:sz w:val="24"/>
                <w:szCs w:val="24"/>
              </w:rPr>
              <w:t>Make choices of means in the transfer of wealth between generations and the use of gifts. Evaluate which optimizes the client’s well-being.</w:t>
            </w:r>
          </w:p>
        </w:tc>
        <w:tc>
          <w:tcPr>
            <w:tcW w:w="1001" w:type="dxa"/>
            <w:noWrap/>
          </w:tcPr>
          <w:p w14:paraId="532791F1" w14:textId="77777777" w:rsidR="00FB00BA" w:rsidRPr="00B60636" w:rsidRDefault="00FB00BA" w:rsidP="00FB00BA">
            <w:pPr>
              <w:jc w:val="center"/>
              <w:rPr>
                <w:b/>
                <w:bCs/>
                <w:iCs/>
              </w:rPr>
            </w:pPr>
          </w:p>
        </w:tc>
        <w:tc>
          <w:tcPr>
            <w:tcW w:w="1069" w:type="dxa"/>
          </w:tcPr>
          <w:p w14:paraId="3016B52D" w14:textId="77777777" w:rsidR="00FB00BA" w:rsidRPr="00B60636" w:rsidRDefault="00FB00BA" w:rsidP="00FB00BA">
            <w:pPr>
              <w:jc w:val="center"/>
              <w:rPr>
                <w:b/>
                <w:bCs/>
                <w:iCs/>
              </w:rPr>
            </w:pPr>
          </w:p>
        </w:tc>
      </w:tr>
      <w:tr w:rsidR="00FB00BA" w:rsidRPr="00C67E5D" w14:paraId="6AC48A84" w14:textId="77777777" w:rsidTr="00FB00BA">
        <w:trPr>
          <w:trHeight w:val="518"/>
        </w:trPr>
        <w:tc>
          <w:tcPr>
            <w:tcW w:w="8478" w:type="dxa"/>
            <w:noWrap/>
          </w:tcPr>
          <w:p w14:paraId="67321AE5" w14:textId="77777777" w:rsidR="00FB00BA" w:rsidRPr="007D03C4" w:rsidRDefault="00FB00BA" w:rsidP="00FB00BA">
            <w:pPr>
              <w:rPr>
                <w:bCs/>
                <w:iCs/>
                <w:sz w:val="24"/>
                <w:szCs w:val="24"/>
              </w:rPr>
            </w:pPr>
            <w:r w:rsidRPr="007D03C4">
              <w:rPr>
                <w:bCs/>
                <w:iCs/>
                <w:sz w:val="24"/>
                <w:szCs w:val="24"/>
              </w:rPr>
              <w:t>Aid both clients and firms in the selection of optimal choices among employee benefit alternatives.</w:t>
            </w:r>
          </w:p>
        </w:tc>
        <w:tc>
          <w:tcPr>
            <w:tcW w:w="1001" w:type="dxa"/>
            <w:noWrap/>
          </w:tcPr>
          <w:p w14:paraId="083EBF0D" w14:textId="77777777" w:rsidR="00FB00BA" w:rsidRPr="00B60636" w:rsidRDefault="00FB00BA" w:rsidP="00FB00BA">
            <w:pPr>
              <w:jc w:val="center"/>
              <w:rPr>
                <w:b/>
                <w:bCs/>
                <w:iCs/>
              </w:rPr>
            </w:pPr>
          </w:p>
        </w:tc>
        <w:tc>
          <w:tcPr>
            <w:tcW w:w="1069" w:type="dxa"/>
          </w:tcPr>
          <w:p w14:paraId="6A3412DD" w14:textId="77777777" w:rsidR="00FB00BA" w:rsidRPr="00B60636" w:rsidRDefault="00FB00BA" w:rsidP="00FB00BA">
            <w:pPr>
              <w:jc w:val="center"/>
              <w:rPr>
                <w:b/>
                <w:bCs/>
                <w:iCs/>
              </w:rPr>
            </w:pPr>
          </w:p>
        </w:tc>
      </w:tr>
      <w:tr w:rsidR="00FB00BA" w:rsidRPr="00C67E5D" w14:paraId="157BA427" w14:textId="77777777" w:rsidTr="00FB00BA">
        <w:trPr>
          <w:trHeight w:val="518"/>
        </w:trPr>
        <w:tc>
          <w:tcPr>
            <w:tcW w:w="8478" w:type="dxa"/>
            <w:noWrap/>
          </w:tcPr>
          <w:p w14:paraId="1102C8D1" w14:textId="77777777" w:rsidR="00FB00BA" w:rsidRPr="007D03C4" w:rsidRDefault="00FB00BA" w:rsidP="00FB00BA">
            <w:pPr>
              <w:rPr>
                <w:bCs/>
                <w:iCs/>
                <w:sz w:val="24"/>
                <w:szCs w:val="24"/>
              </w:rPr>
            </w:pPr>
            <w:r w:rsidRPr="007D03C4">
              <w:rPr>
                <w:bCs/>
                <w:iCs/>
                <w:sz w:val="24"/>
                <w:szCs w:val="24"/>
              </w:rPr>
              <w:t>Evaluate and resolve ethical dilemmas facing financial planners.</w:t>
            </w:r>
          </w:p>
        </w:tc>
        <w:tc>
          <w:tcPr>
            <w:tcW w:w="1001" w:type="dxa"/>
            <w:noWrap/>
          </w:tcPr>
          <w:p w14:paraId="32DEABC1" w14:textId="77777777" w:rsidR="00FB00BA" w:rsidRPr="00B60636" w:rsidRDefault="00FB00BA" w:rsidP="00FB00BA">
            <w:pPr>
              <w:jc w:val="center"/>
              <w:rPr>
                <w:b/>
                <w:bCs/>
                <w:iCs/>
              </w:rPr>
            </w:pPr>
          </w:p>
        </w:tc>
        <w:tc>
          <w:tcPr>
            <w:tcW w:w="1069" w:type="dxa"/>
          </w:tcPr>
          <w:p w14:paraId="236FDCF0" w14:textId="77777777" w:rsidR="00FB00BA" w:rsidRPr="00B60636" w:rsidRDefault="00FB00BA" w:rsidP="00FB00BA">
            <w:pPr>
              <w:jc w:val="center"/>
              <w:rPr>
                <w:b/>
                <w:bCs/>
                <w:iCs/>
              </w:rPr>
            </w:pPr>
          </w:p>
        </w:tc>
      </w:tr>
      <w:tr w:rsidR="00FB00BA" w:rsidRPr="00C67E5D" w14:paraId="273023E8" w14:textId="77777777" w:rsidTr="00FB00BA">
        <w:trPr>
          <w:trHeight w:val="350"/>
        </w:trPr>
        <w:tc>
          <w:tcPr>
            <w:tcW w:w="8478" w:type="dxa"/>
            <w:noWrap/>
          </w:tcPr>
          <w:p w14:paraId="43553227" w14:textId="77777777" w:rsidR="00FB00BA" w:rsidRPr="007D03C4" w:rsidRDefault="00FB00BA" w:rsidP="00FB00BA">
            <w:pPr>
              <w:rPr>
                <w:bCs/>
                <w:iCs/>
                <w:sz w:val="24"/>
                <w:szCs w:val="24"/>
              </w:rPr>
            </w:pPr>
            <w:r w:rsidRPr="007D03C4">
              <w:rPr>
                <w:bCs/>
                <w:iCs/>
                <w:sz w:val="24"/>
                <w:szCs w:val="24"/>
              </w:rPr>
              <w:t>Recognize the legal and regulatory constraints within which planners operate.</w:t>
            </w:r>
          </w:p>
        </w:tc>
        <w:tc>
          <w:tcPr>
            <w:tcW w:w="1001" w:type="dxa"/>
            <w:noWrap/>
          </w:tcPr>
          <w:p w14:paraId="3671CEAC" w14:textId="77777777" w:rsidR="00FB00BA" w:rsidRPr="00B60636" w:rsidRDefault="00FB00BA" w:rsidP="00FB00BA">
            <w:pPr>
              <w:jc w:val="center"/>
              <w:rPr>
                <w:b/>
                <w:bCs/>
                <w:iCs/>
              </w:rPr>
            </w:pPr>
          </w:p>
        </w:tc>
        <w:tc>
          <w:tcPr>
            <w:tcW w:w="1069" w:type="dxa"/>
          </w:tcPr>
          <w:p w14:paraId="4712616B" w14:textId="77777777" w:rsidR="00FB00BA" w:rsidRPr="00B60636" w:rsidRDefault="00FB00BA" w:rsidP="00FB00BA">
            <w:pPr>
              <w:jc w:val="center"/>
              <w:rPr>
                <w:b/>
                <w:bCs/>
                <w:iCs/>
              </w:rPr>
            </w:pPr>
          </w:p>
        </w:tc>
      </w:tr>
      <w:tr w:rsidR="00FB00BA" w:rsidRPr="00C67E5D" w14:paraId="505268E4" w14:textId="77777777" w:rsidTr="00FB00BA">
        <w:trPr>
          <w:trHeight w:val="350"/>
        </w:trPr>
        <w:tc>
          <w:tcPr>
            <w:tcW w:w="8478" w:type="dxa"/>
            <w:noWrap/>
          </w:tcPr>
          <w:p w14:paraId="7CDE538B" w14:textId="77777777" w:rsidR="00FB00BA" w:rsidRPr="007D03C4" w:rsidRDefault="00FB00BA" w:rsidP="00FB00BA">
            <w:pPr>
              <w:rPr>
                <w:bCs/>
                <w:iCs/>
                <w:sz w:val="24"/>
                <w:szCs w:val="24"/>
              </w:rPr>
            </w:pPr>
            <w:r w:rsidRPr="007D03C4">
              <w:rPr>
                <w:bCs/>
                <w:iCs/>
                <w:sz w:val="24"/>
                <w:szCs w:val="24"/>
              </w:rPr>
              <w:t>Determine the appropriate business form for operating a financial planning practice.</w:t>
            </w:r>
          </w:p>
        </w:tc>
        <w:tc>
          <w:tcPr>
            <w:tcW w:w="1001" w:type="dxa"/>
            <w:noWrap/>
          </w:tcPr>
          <w:p w14:paraId="7837FAA5" w14:textId="77777777" w:rsidR="00FB00BA" w:rsidRPr="00B60636" w:rsidRDefault="00FB00BA" w:rsidP="00FB00BA">
            <w:pPr>
              <w:jc w:val="center"/>
              <w:rPr>
                <w:b/>
                <w:bCs/>
                <w:iCs/>
              </w:rPr>
            </w:pPr>
          </w:p>
        </w:tc>
        <w:tc>
          <w:tcPr>
            <w:tcW w:w="1069" w:type="dxa"/>
          </w:tcPr>
          <w:p w14:paraId="16979596" w14:textId="77777777" w:rsidR="00FB00BA" w:rsidRPr="00B60636" w:rsidRDefault="00FB00BA" w:rsidP="00FB00BA">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957DD"/>
    <w:rsid w:val="00113E08"/>
    <w:rsid w:val="001B6A52"/>
    <w:rsid w:val="002064E8"/>
    <w:rsid w:val="002230F0"/>
    <w:rsid w:val="0051791D"/>
    <w:rsid w:val="005A751B"/>
    <w:rsid w:val="005E2B08"/>
    <w:rsid w:val="00616801"/>
    <w:rsid w:val="00714EE2"/>
    <w:rsid w:val="00803749"/>
    <w:rsid w:val="008C4022"/>
    <w:rsid w:val="00901ECD"/>
    <w:rsid w:val="009255A2"/>
    <w:rsid w:val="00967365"/>
    <w:rsid w:val="0097249B"/>
    <w:rsid w:val="00A37CE4"/>
    <w:rsid w:val="00AD573B"/>
    <w:rsid w:val="00B92948"/>
    <w:rsid w:val="00D445A9"/>
    <w:rsid w:val="00E131D4"/>
    <w:rsid w:val="00EF05C4"/>
    <w:rsid w:val="00FB00BA"/>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aweb.sdsu.edu/assets/files/assessment/goals/2012/MSBA-financial-plan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2</cp:revision>
  <cp:lastPrinted>2013-02-28T21:17:00Z</cp:lastPrinted>
  <dcterms:created xsi:type="dcterms:W3CDTF">2014-09-23T15:49:00Z</dcterms:created>
  <dcterms:modified xsi:type="dcterms:W3CDTF">2014-09-23T15:49:00Z</dcterms:modified>
</cp:coreProperties>
</file>